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C5" w:rsidRDefault="001839E1" w:rsidP="009754C5">
      <w:pPr>
        <w:jc w:val="center"/>
        <w:rPr>
          <w:rFonts w:ascii="Arial" w:hAnsi="Arial"/>
          <w:sz w:val="32"/>
          <w:szCs w:val="32"/>
        </w:rPr>
      </w:pPr>
      <w:r>
        <w:rPr>
          <w:rFonts w:ascii="Arial" w:hAnsi="Arial"/>
          <w:sz w:val="32"/>
          <w:szCs w:val="32"/>
        </w:rPr>
        <w:t xml:space="preserve">Comparison of </w:t>
      </w:r>
      <w:proofErr w:type="spellStart"/>
      <w:r>
        <w:rPr>
          <w:rFonts w:ascii="Arial" w:hAnsi="Arial"/>
          <w:sz w:val="32"/>
          <w:szCs w:val="32"/>
        </w:rPr>
        <w:t>AssayAssure</w:t>
      </w:r>
      <w:proofErr w:type="spellEnd"/>
      <w:r w:rsidRPr="001839E1">
        <w:rPr>
          <w:rFonts w:ascii="Arial" w:hAnsi="Arial"/>
          <w:sz w:val="32"/>
          <w:szCs w:val="32"/>
          <w:vertAlign w:val="superscript"/>
        </w:rPr>
        <w:t>®</w:t>
      </w:r>
      <w:r>
        <w:rPr>
          <w:rFonts w:ascii="Arial" w:hAnsi="Arial"/>
          <w:sz w:val="32"/>
          <w:szCs w:val="32"/>
        </w:rPr>
        <w:t xml:space="preserve"> </w:t>
      </w:r>
      <w:r w:rsidR="00916BA8">
        <w:rPr>
          <w:rFonts w:ascii="Arial" w:hAnsi="Arial"/>
          <w:sz w:val="32"/>
          <w:szCs w:val="32"/>
        </w:rPr>
        <w:t xml:space="preserve">Molecular </w:t>
      </w:r>
      <w:r>
        <w:rPr>
          <w:rFonts w:ascii="Arial" w:hAnsi="Arial"/>
          <w:sz w:val="32"/>
          <w:szCs w:val="32"/>
        </w:rPr>
        <w:t>with Standard Culture Media</w:t>
      </w:r>
    </w:p>
    <w:p w:rsidR="00694FC4" w:rsidRPr="009754C5" w:rsidRDefault="009754C5">
      <w:pPr>
        <w:rPr>
          <w:rFonts w:ascii="Arial" w:hAnsi="Arial"/>
        </w:rPr>
      </w:pPr>
      <w:r>
        <w:rPr>
          <w:rFonts w:ascii="Arial" w:hAnsi="Arial"/>
        </w:rPr>
        <w:t xml:space="preserve"> </w:t>
      </w:r>
    </w:p>
    <w:tbl>
      <w:tblPr>
        <w:tblStyle w:val="TableGrid"/>
        <w:tblW w:w="0" w:type="auto"/>
        <w:tblLook w:val="00BF"/>
      </w:tblPr>
      <w:tblGrid>
        <w:gridCol w:w="2394"/>
        <w:gridCol w:w="2394"/>
        <w:gridCol w:w="2394"/>
        <w:gridCol w:w="2394"/>
      </w:tblGrid>
      <w:tr w:rsidR="00694FC4" w:rsidRPr="009754C5">
        <w:tc>
          <w:tcPr>
            <w:tcW w:w="2394" w:type="dxa"/>
          </w:tcPr>
          <w:p w:rsidR="00694FC4" w:rsidRPr="00354571" w:rsidRDefault="00694FC4">
            <w:pPr>
              <w:rPr>
                <w:rFonts w:ascii="Arial" w:hAnsi="Arial"/>
                <w:sz w:val="20"/>
              </w:rPr>
            </w:pPr>
          </w:p>
        </w:tc>
        <w:tc>
          <w:tcPr>
            <w:tcW w:w="2394" w:type="dxa"/>
            <w:shd w:val="clear" w:color="auto" w:fill="C0C0C0"/>
          </w:tcPr>
          <w:p w:rsidR="00694FC4" w:rsidRPr="00354571" w:rsidRDefault="00694FC4" w:rsidP="005167A8">
            <w:pPr>
              <w:jc w:val="center"/>
              <w:rPr>
                <w:rFonts w:ascii="Arial" w:hAnsi="Arial"/>
                <w:sz w:val="20"/>
              </w:rPr>
            </w:pPr>
            <w:proofErr w:type="spellStart"/>
            <w:r w:rsidRPr="00354571">
              <w:rPr>
                <w:rFonts w:ascii="Arial" w:hAnsi="Arial"/>
                <w:sz w:val="20"/>
              </w:rPr>
              <w:t>Amies</w:t>
            </w:r>
            <w:proofErr w:type="spellEnd"/>
            <w:r w:rsidRPr="00354571">
              <w:rPr>
                <w:rFonts w:ascii="Arial" w:hAnsi="Arial"/>
                <w:sz w:val="20"/>
              </w:rPr>
              <w:t xml:space="preserve"> Transport Media</w:t>
            </w:r>
          </w:p>
        </w:tc>
        <w:tc>
          <w:tcPr>
            <w:tcW w:w="2394" w:type="dxa"/>
            <w:shd w:val="clear" w:color="auto" w:fill="C0C0C0"/>
          </w:tcPr>
          <w:p w:rsidR="00694FC4" w:rsidRPr="00354571" w:rsidRDefault="00694FC4" w:rsidP="005167A8">
            <w:pPr>
              <w:jc w:val="center"/>
              <w:rPr>
                <w:rFonts w:ascii="Arial" w:hAnsi="Arial"/>
                <w:sz w:val="20"/>
              </w:rPr>
            </w:pPr>
            <w:r w:rsidRPr="00354571">
              <w:rPr>
                <w:rFonts w:ascii="Arial" w:hAnsi="Arial"/>
                <w:sz w:val="20"/>
              </w:rPr>
              <w:t>Stuarts Transport Media</w:t>
            </w:r>
          </w:p>
        </w:tc>
        <w:tc>
          <w:tcPr>
            <w:tcW w:w="2394" w:type="dxa"/>
            <w:shd w:val="clear" w:color="auto" w:fill="C0C0C0"/>
          </w:tcPr>
          <w:p w:rsidR="00694FC4" w:rsidRPr="00354571" w:rsidRDefault="005167A8" w:rsidP="005167A8">
            <w:pPr>
              <w:jc w:val="center"/>
              <w:rPr>
                <w:rFonts w:ascii="Arial" w:hAnsi="Arial"/>
                <w:sz w:val="20"/>
              </w:rPr>
            </w:pPr>
            <w:proofErr w:type="spellStart"/>
            <w:r w:rsidRPr="00354571">
              <w:rPr>
                <w:rFonts w:ascii="Arial" w:hAnsi="Arial"/>
                <w:sz w:val="20"/>
              </w:rPr>
              <w:t>AssayAssure</w:t>
            </w:r>
            <w:proofErr w:type="spellEnd"/>
            <w:r w:rsidRPr="00354571">
              <w:rPr>
                <w:rFonts w:ascii="Arial" w:hAnsi="Arial"/>
                <w:sz w:val="20"/>
                <w:vertAlign w:val="superscript"/>
              </w:rPr>
              <w:t>®</w:t>
            </w:r>
            <w:r w:rsidRPr="00354571">
              <w:rPr>
                <w:rFonts w:ascii="Arial" w:hAnsi="Arial"/>
                <w:sz w:val="20"/>
              </w:rPr>
              <w:t xml:space="preserve"> </w:t>
            </w:r>
            <w:r w:rsidR="00016487">
              <w:rPr>
                <w:rFonts w:ascii="Arial" w:hAnsi="Arial"/>
                <w:sz w:val="20"/>
              </w:rPr>
              <w:t>Molecular</w:t>
            </w:r>
          </w:p>
        </w:tc>
      </w:tr>
      <w:tr w:rsidR="00694FC4" w:rsidRPr="009754C5">
        <w:tc>
          <w:tcPr>
            <w:tcW w:w="2394" w:type="dxa"/>
          </w:tcPr>
          <w:p w:rsidR="00694FC4" w:rsidRPr="00354571" w:rsidRDefault="00694FC4">
            <w:pPr>
              <w:rPr>
                <w:rFonts w:ascii="Arial" w:hAnsi="Arial"/>
                <w:sz w:val="20"/>
              </w:rPr>
            </w:pPr>
            <w:r w:rsidRPr="00354571">
              <w:rPr>
                <w:rFonts w:ascii="Arial" w:hAnsi="Arial"/>
                <w:sz w:val="20"/>
              </w:rPr>
              <w:t>Bacterial Viability</w:t>
            </w:r>
            <w:r w:rsidR="008F656F" w:rsidRPr="00354571">
              <w:rPr>
                <w:rFonts w:ascii="Arial" w:hAnsi="Arial"/>
                <w:sz w:val="20"/>
              </w:rPr>
              <w:t xml:space="preserve"> at ambient temperature</w:t>
            </w:r>
            <w:r w:rsidR="00016487">
              <w:rPr>
                <w:rFonts w:ascii="Arial" w:hAnsi="Arial"/>
                <w:sz w:val="20"/>
              </w:rPr>
              <w:t xml:space="preserve"> +25</w:t>
            </w:r>
            <w:r w:rsidR="00916BA8">
              <w:rPr>
                <w:rFonts w:ascii="Arial" w:hAnsi="Arial" w:cs="Arial"/>
                <w:sz w:val="20"/>
              </w:rPr>
              <w:t>°C</w:t>
            </w:r>
          </w:p>
        </w:tc>
        <w:tc>
          <w:tcPr>
            <w:tcW w:w="2394" w:type="dxa"/>
          </w:tcPr>
          <w:p w:rsidR="00694FC4" w:rsidRPr="00354571" w:rsidRDefault="00030444" w:rsidP="009754C5">
            <w:pPr>
              <w:jc w:val="center"/>
              <w:rPr>
                <w:rFonts w:ascii="Arial" w:hAnsi="Arial"/>
                <w:sz w:val="20"/>
              </w:rPr>
            </w:pPr>
            <w:r w:rsidRPr="00354571">
              <w:rPr>
                <w:rFonts w:ascii="Arial" w:hAnsi="Arial"/>
                <w:sz w:val="20"/>
              </w:rPr>
              <w:t>24-48 hours</w:t>
            </w:r>
          </w:p>
        </w:tc>
        <w:tc>
          <w:tcPr>
            <w:tcW w:w="2394" w:type="dxa"/>
          </w:tcPr>
          <w:p w:rsidR="00694FC4" w:rsidRPr="00354571" w:rsidRDefault="00030444" w:rsidP="009754C5">
            <w:pPr>
              <w:jc w:val="center"/>
              <w:rPr>
                <w:rFonts w:ascii="Arial" w:hAnsi="Arial"/>
                <w:sz w:val="20"/>
              </w:rPr>
            </w:pPr>
            <w:r w:rsidRPr="00354571">
              <w:rPr>
                <w:rFonts w:ascii="Arial" w:hAnsi="Arial"/>
                <w:sz w:val="20"/>
              </w:rPr>
              <w:t>24-48 hours</w:t>
            </w:r>
          </w:p>
        </w:tc>
        <w:tc>
          <w:tcPr>
            <w:tcW w:w="2394" w:type="dxa"/>
          </w:tcPr>
          <w:p w:rsidR="00694FC4" w:rsidRPr="00354571" w:rsidRDefault="00047359" w:rsidP="009754C5">
            <w:pPr>
              <w:jc w:val="center"/>
              <w:rPr>
                <w:rFonts w:ascii="Arial" w:hAnsi="Arial"/>
                <w:sz w:val="20"/>
              </w:rPr>
            </w:pPr>
            <w:r>
              <w:rPr>
                <w:rFonts w:ascii="Arial" w:hAnsi="Arial"/>
                <w:sz w:val="20"/>
              </w:rPr>
              <w:t>144 hours*</w:t>
            </w:r>
          </w:p>
        </w:tc>
      </w:tr>
      <w:tr w:rsidR="009754C5" w:rsidRPr="009754C5">
        <w:tc>
          <w:tcPr>
            <w:tcW w:w="2394" w:type="dxa"/>
          </w:tcPr>
          <w:p w:rsidR="009754C5" w:rsidRPr="00354571" w:rsidRDefault="009754C5" w:rsidP="005167A8">
            <w:pPr>
              <w:rPr>
                <w:rFonts w:ascii="Arial" w:hAnsi="Arial"/>
                <w:sz w:val="20"/>
              </w:rPr>
            </w:pPr>
            <w:r w:rsidRPr="00354571">
              <w:rPr>
                <w:rFonts w:ascii="Arial" w:hAnsi="Arial"/>
                <w:sz w:val="20"/>
              </w:rPr>
              <w:t>Stabilized bacterial population – no growth after collection</w:t>
            </w:r>
          </w:p>
        </w:tc>
        <w:tc>
          <w:tcPr>
            <w:tcW w:w="2394" w:type="dxa"/>
          </w:tcPr>
          <w:p w:rsidR="009754C5" w:rsidRPr="00354571" w:rsidRDefault="009754C5" w:rsidP="009754C5">
            <w:pPr>
              <w:jc w:val="center"/>
              <w:rPr>
                <w:rFonts w:ascii="Arial" w:hAnsi="Arial"/>
                <w:sz w:val="20"/>
              </w:rPr>
            </w:pPr>
            <w:r w:rsidRPr="00354571">
              <w:rPr>
                <w:rFonts w:ascii="Arial" w:hAnsi="Arial"/>
                <w:sz w:val="20"/>
              </w:rPr>
              <w:t>No</w:t>
            </w:r>
          </w:p>
        </w:tc>
        <w:tc>
          <w:tcPr>
            <w:tcW w:w="2394" w:type="dxa"/>
          </w:tcPr>
          <w:p w:rsidR="009754C5" w:rsidRPr="00354571" w:rsidRDefault="009754C5" w:rsidP="009754C5">
            <w:pPr>
              <w:jc w:val="center"/>
              <w:rPr>
                <w:rFonts w:ascii="Arial" w:hAnsi="Arial"/>
                <w:sz w:val="20"/>
              </w:rPr>
            </w:pPr>
            <w:r w:rsidRPr="00354571">
              <w:rPr>
                <w:rFonts w:ascii="Arial" w:hAnsi="Arial"/>
                <w:sz w:val="20"/>
              </w:rPr>
              <w:t>No</w:t>
            </w:r>
          </w:p>
        </w:tc>
        <w:tc>
          <w:tcPr>
            <w:tcW w:w="2394" w:type="dxa"/>
          </w:tcPr>
          <w:p w:rsidR="009754C5" w:rsidRPr="00354571" w:rsidRDefault="009754C5" w:rsidP="009754C5">
            <w:pPr>
              <w:jc w:val="center"/>
              <w:rPr>
                <w:rFonts w:ascii="Arial" w:hAnsi="Arial"/>
                <w:sz w:val="20"/>
              </w:rPr>
            </w:pPr>
            <w:r w:rsidRPr="00354571">
              <w:rPr>
                <w:rFonts w:ascii="Arial" w:hAnsi="Arial"/>
                <w:sz w:val="20"/>
              </w:rPr>
              <w:t>Yes</w:t>
            </w:r>
          </w:p>
        </w:tc>
      </w:tr>
      <w:tr w:rsidR="009754C5" w:rsidRPr="009754C5">
        <w:tc>
          <w:tcPr>
            <w:tcW w:w="2394" w:type="dxa"/>
          </w:tcPr>
          <w:p w:rsidR="009754C5" w:rsidRPr="00354571" w:rsidRDefault="009754C5" w:rsidP="005167A8">
            <w:pPr>
              <w:rPr>
                <w:rFonts w:ascii="Arial" w:hAnsi="Arial"/>
                <w:sz w:val="20"/>
              </w:rPr>
            </w:pPr>
            <w:r w:rsidRPr="00354571">
              <w:rPr>
                <w:rFonts w:ascii="Arial" w:hAnsi="Arial"/>
                <w:sz w:val="20"/>
              </w:rPr>
              <w:t>Down-regulation of bacterial growth factors</w:t>
            </w:r>
          </w:p>
        </w:tc>
        <w:tc>
          <w:tcPr>
            <w:tcW w:w="2394" w:type="dxa"/>
          </w:tcPr>
          <w:p w:rsidR="009754C5" w:rsidRPr="00354571" w:rsidRDefault="009754C5" w:rsidP="009754C5">
            <w:pPr>
              <w:jc w:val="center"/>
              <w:rPr>
                <w:rFonts w:ascii="Arial" w:hAnsi="Arial"/>
                <w:sz w:val="20"/>
              </w:rPr>
            </w:pPr>
            <w:r w:rsidRPr="00354571">
              <w:rPr>
                <w:rFonts w:ascii="Arial" w:hAnsi="Arial"/>
                <w:sz w:val="20"/>
              </w:rPr>
              <w:t>No</w:t>
            </w:r>
          </w:p>
        </w:tc>
        <w:tc>
          <w:tcPr>
            <w:tcW w:w="2394" w:type="dxa"/>
          </w:tcPr>
          <w:p w:rsidR="009754C5" w:rsidRPr="00354571" w:rsidRDefault="009754C5" w:rsidP="009754C5">
            <w:pPr>
              <w:jc w:val="center"/>
              <w:rPr>
                <w:rFonts w:ascii="Arial" w:hAnsi="Arial"/>
                <w:sz w:val="20"/>
              </w:rPr>
            </w:pPr>
            <w:r w:rsidRPr="00354571">
              <w:rPr>
                <w:rFonts w:ascii="Arial" w:hAnsi="Arial"/>
                <w:sz w:val="20"/>
              </w:rPr>
              <w:t>No</w:t>
            </w:r>
          </w:p>
        </w:tc>
        <w:tc>
          <w:tcPr>
            <w:tcW w:w="2394" w:type="dxa"/>
          </w:tcPr>
          <w:p w:rsidR="009754C5" w:rsidRPr="00354571" w:rsidRDefault="009754C5" w:rsidP="009754C5">
            <w:pPr>
              <w:jc w:val="center"/>
              <w:rPr>
                <w:rFonts w:ascii="Arial" w:hAnsi="Arial"/>
                <w:sz w:val="20"/>
              </w:rPr>
            </w:pPr>
            <w:r w:rsidRPr="00354571">
              <w:rPr>
                <w:rFonts w:ascii="Arial" w:hAnsi="Arial"/>
                <w:sz w:val="20"/>
              </w:rPr>
              <w:t>Yes</w:t>
            </w:r>
          </w:p>
        </w:tc>
      </w:tr>
      <w:tr w:rsidR="009754C5" w:rsidRPr="009754C5">
        <w:tc>
          <w:tcPr>
            <w:tcW w:w="2394" w:type="dxa"/>
          </w:tcPr>
          <w:p w:rsidR="009754C5" w:rsidRPr="00354571" w:rsidRDefault="009754C5" w:rsidP="001839E1">
            <w:pPr>
              <w:rPr>
                <w:rFonts w:ascii="Arial" w:hAnsi="Arial"/>
                <w:sz w:val="20"/>
              </w:rPr>
            </w:pPr>
            <w:r w:rsidRPr="00354571">
              <w:rPr>
                <w:rFonts w:ascii="Arial" w:hAnsi="Arial"/>
                <w:sz w:val="20"/>
              </w:rPr>
              <w:t xml:space="preserve">Protection of DNA and RNA from enzymatic products of </w:t>
            </w:r>
            <w:proofErr w:type="spellStart"/>
            <w:r w:rsidRPr="00354571">
              <w:rPr>
                <w:rFonts w:ascii="Arial" w:hAnsi="Arial"/>
                <w:sz w:val="20"/>
              </w:rPr>
              <w:t>lysed</w:t>
            </w:r>
            <w:proofErr w:type="spellEnd"/>
            <w:r w:rsidRPr="00354571">
              <w:rPr>
                <w:rFonts w:ascii="Arial" w:hAnsi="Arial"/>
                <w:sz w:val="20"/>
              </w:rPr>
              <w:t xml:space="preserve"> cells</w:t>
            </w:r>
          </w:p>
        </w:tc>
        <w:tc>
          <w:tcPr>
            <w:tcW w:w="2394" w:type="dxa"/>
          </w:tcPr>
          <w:p w:rsidR="009754C5" w:rsidRPr="00354571" w:rsidRDefault="009754C5" w:rsidP="009754C5">
            <w:pPr>
              <w:jc w:val="center"/>
              <w:rPr>
                <w:rFonts w:ascii="Arial" w:hAnsi="Arial"/>
                <w:sz w:val="20"/>
              </w:rPr>
            </w:pPr>
            <w:r w:rsidRPr="00354571">
              <w:rPr>
                <w:rFonts w:ascii="Arial" w:hAnsi="Arial"/>
                <w:sz w:val="20"/>
              </w:rPr>
              <w:t>No</w:t>
            </w:r>
          </w:p>
        </w:tc>
        <w:tc>
          <w:tcPr>
            <w:tcW w:w="2394" w:type="dxa"/>
          </w:tcPr>
          <w:p w:rsidR="009754C5" w:rsidRPr="00354571" w:rsidRDefault="009754C5" w:rsidP="009754C5">
            <w:pPr>
              <w:jc w:val="center"/>
              <w:rPr>
                <w:rFonts w:ascii="Arial" w:hAnsi="Arial"/>
                <w:sz w:val="20"/>
              </w:rPr>
            </w:pPr>
            <w:r w:rsidRPr="00354571">
              <w:rPr>
                <w:rFonts w:ascii="Arial" w:hAnsi="Arial"/>
                <w:sz w:val="20"/>
              </w:rPr>
              <w:t>No</w:t>
            </w:r>
          </w:p>
        </w:tc>
        <w:tc>
          <w:tcPr>
            <w:tcW w:w="2394" w:type="dxa"/>
          </w:tcPr>
          <w:p w:rsidR="009754C5" w:rsidRPr="00354571" w:rsidRDefault="009754C5" w:rsidP="009754C5">
            <w:pPr>
              <w:jc w:val="center"/>
              <w:rPr>
                <w:rFonts w:ascii="Arial" w:hAnsi="Arial"/>
                <w:sz w:val="20"/>
              </w:rPr>
            </w:pPr>
            <w:r w:rsidRPr="00354571">
              <w:rPr>
                <w:rFonts w:ascii="Arial" w:hAnsi="Arial"/>
                <w:sz w:val="20"/>
              </w:rPr>
              <w:t>Yes</w:t>
            </w:r>
          </w:p>
        </w:tc>
      </w:tr>
      <w:tr w:rsidR="009754C5" w:rsidRPr="009754C5">
        <w:tc>
          <w:tcPr>
            <w:tcW w:w="2394" w:type="dxa"/>
          </w:tcPr>
          <w:p w:rsidR="009754C5" w:rsidRPr="00354571" w:rsidRDefault="009754C5" w:rsidP="005167A8">
            <w:pPr>
              <w:rPr>
                <w:rFonts w:ascii="Arial" w:hAnsi="Arial"/>
                <w:sz w:val="20"/>
              </w:rPr>
            </w:pPr>
            <w:r w:rsidRPr="00354571">
              <w:rPr>
                <w:rFonts w:ascii="Arial" w:hAnsi="Arial"/>
                <w:sz w:val="20"/>
              </w:rPr>
              <w:t>Buffering system</w:t>
            </w:r>
          </w:p>
        </w:tc>
        <w:tc>
          <w:tcPr>
            <w:tcW w:w="2394" w:type="dxa"/>
          </w:tcPr>
          <w:p w:rsidR="009754C5" w:rsidRPr="00354571" w:rsidRDefault="009754C5" w:rsidP="009754C5">
            <w:pPr>
              <w:jc w:val="center"/>
              <w:rPr>
                <w:rFonts w:ascii="Arial" w:hAnsi="Arial"/>
                <w:sz w:val="20"/>
              </w:rPr>
            </w:pPr>
            <w:r w:rsidRPr="00354571">
              <w:rPr>
                <w:rFonts w:ascii="Arial" w:hAnsi="Arial"/>
                <w:sz w:val="20"/>
              </w:rPr>
              <w:t>No</w:t>
            </w:r>
          </w:p>
        </w:tc>
        <w:tc>
          <w:tcPr>
            <w:tcW w:w="2394" w:type="dxa"/>
          </w:tcPr>
          <w:p w:rsidR="009754C5" w:rsidRPr="00354571" w:rsidRDefault="009754C5" w:rsidP="009754C5">
            <w:pPr>
              <w:jc w:val="center"/>
              <w:rPr>
                <w:rFonts w:ascii="Arial" w:hAnsi="Arial"/>
                <w:sz w:val="20"/>
              </w:rPr>
            </w:pPr>
            <w:r w:rsidRPr="00354571">
              <w:rPr>
                <w:rFonts w:ascii="Arial" w:hAnsi="Arial"/>
                <w:sz w:val="20"/>
              </w:rPr>
              <w:t>No</w:t>
            </w:r>
          </w:p>
        </w:tc>
        <w:tc>
          <w:tcPr>
            <w:tcW w:w="2394" w:type="dxa"/>
          </w:tcPr>
          <w:p w:rsidR="009754C5" w:rsidRPr="00354571" w:rsidRDefault="009754C5" w:rsidP="009754C5">
            <w:pPr>
              <w:jc w:val="center"/>
              <w:rPr>
                <w:rFonts w:ascii="Arial" w:hAnsi="Arial"/>
                <w:sz w:val="20"/>
              </w:rPr>
            </w:pPr>
            <w:r w:rsidRPr="00354571">
              <w:rPr>
                <w:rFonts w:ascii="Arial" w:hAnsi="Arial"/>
                <w:sz w:val="20"/>
              </w:rPr>
              <w:t>Yes</w:t>
            </w:r>
          </w:p>
        </w:tc>
      </w:tr>
      <w:tr w:rsidR="009754C5" w:rsidRPr="009754C5">
        <w:tc>
          <w:tcPr>
            <w:tcW w:w="2394" w:type="dxa"/>
          </w:tcPr>
          <w:p w:rsidR="009754C5" w:rsidRPr="00354571" w:rsidRDefault="009754C5" w:rsidP="005167A8">
            <w:pPr>
              <w:rPr>
                <w:rFonts w:ascii="Arial" w:hAnsi="Arial"/>
                <w:sz w:val="20"/>
              </w:rPr>
            </w:pPr>
            <w:proofErr w:type="spellStart"/>
            <w:r w:rsidRPr="00354571">
              <w:rPr>
                <w:rFonts w:ascii="Arial" w:hAnsi="Arial"/>
                <w:sz w:val="20"/>
              </w:rPr>
              <w:t>Cryoprotectant</w:t>
            </w:r>
            <w:proofErr w:type="spellEnd"/>
            <w:r w:rsidRPr="00354571">
              <w:rPr>
                <w:rFonts w:ascii="Arial" w:hAnsi="Arial"/>
                <w:sz w:val="20"/>
              </w:rPr>
              <w:t xml:space="preserve"> </w:t>
            </w:r>
          </w:p>
        </w:tc>
        <w:tc>
          <w:tcPr>
            <w:tcW w:w="2394" w:type="dxa"/>
          </w:tcPr>
          <w:p w:rsidR="009754C5" w:rsidRPr="00354571" w:rsidRDefault="009754C5" w:rsidP="009754C5">
            <w:pPr>
              <w:jc w:val="center"/>
              <w:rPr>
                <w:rFonts w:ascii="Arial" w:hAnsi="Arial"/>
                <w:sz w:val="20"/>
              </w:rPr>
            </w:pPr>
            <w:r w:rsidRPr="00354571">
              <w:rPr>
                <w:rFonts w:ascii="Arial" w:hAnsi="Arial"/>
                <w:sz w:val="20"/>
              </w:rPr>
              <w:t>No</w:t>
            </w:r>
          </w:p>
        </w:tc>
        <w:tc>
          <w:tcPr>
            <w:tcW w:w="2394" w:type="dxa"/>
          </w:tcPr>
          <w:p w:rsidR="009754C5" w:rsidRPr="00354571" w:rsidRDefault="009754C5" w:rsidP="009754C5">
            <w:pPr>
              <w:jc w:val="center"/>
              <w:rPr>
                <w:rFonts w:ascii="Arial" w:hAnsi="Arial"/>
                <w:sz w:val="20"/>
              </w:rPr>
            </w:pPr>
            <w:r w:rsidRPr="00354571">
              <w:rPr>
                <w:rFonts w:ascii="Arial" w:hAnsi="Arial"/>
                <w:sz w:val="20"/>
              </w:rPr>
              <w:t>No</w:t>
            </w:r>
          </w:p>
        </w:tc>
        <w:tc>
          <w:tcPr>
            <w:tcW w:w="2394" w:type="dxa"/>
          </w:tcPr>
          <w:p w:rsidR="009754C5" w:rsidRPr="00354571" w:rsidRDefault="009754C5" w:rsidP="009754C5">
            <w:pPr>
              <w:jc w:val="center"/>
              <w:rPr>
                <w:rFonts w:ascii="Arial" w:hAnsi="Arial"/>
                <w:sz w:val="20"/>
              </w:rPr>
            </w:pPr>
            <w:r w:rsidRPr="00354571">
              <w:rPr>
                <w:rFonts w:ascii="Arial" w:hAnsi="Arial"/>
                <w:sz w:val="20"/>
              </w:rPr>
              <w:t>Yes</w:t>
            </w:r>
          </w:p>
        </w:tc>
      </w:tr>
      <w:tr w:rsidR="009754C5" w:rsidRPr="009754C5">
        <w:tc>
          <w:tcPr>
            <w:tcW w:w="2394" w:type="dxa"/>
          </w:tcPr>
          <w:p w:rsidR="009754C5" w:rsidRPr="00354571" w:rsidRDefault="009754C5" w:rsidP="009754C5">
            <w:pPr>
              <w:rPr>
                <w:rFonts w:ascii="Arial" w:hAnsi="Arial"/>
                <w:sz w:val="20"/>
              </w:rPr>
            </w:pPr>
            <w:r w:rsidRPr="00354571">
              <w:rPr>
                <w:rFonts w:ascii="Arial" w:hAnsi="Arial"/>
                <w:sz w:val="20"/>
              </w:rPr>
              <w:t xml:space="preserve">Biological </w:t>
            </w:r>
            <w:proofErr w:type="spellStart"/>
            <w:r w:rsidRPr="00354571">
              <w:rPr>
                <w:rFonts w:ascii="Arial" w:hAnsi="Arial"/>
                <w:sz w:val="20"/>
              </w:rPr>
              <w:t>penetrantant</w:t>
            </w:r>
            <w:proofErr w:type="spellEnd"/>
          </w:p>
        </w:tc>
        <w:tc>
          <w:tcPr>
            <w:tcW w:w="2394" w:type="dxa"/>
          </w:tcPr>
          <w:p w:rsidR="009754C5" w:rsidRPr="00354571" w:rsidRDefault="009754C5" w:rsidP="009754C5">
            <w:pPr>
              <w:jc w:val="center"/>
              <w:rPr>
                <w:rFonts w:ascii="Arial" w:hAnsi="Arial"/>
                <w:sz w:val="20"/>
              </w:rPr>
            </w:pPr>
            <w:r w:rsidRPr="00354571">
              <w:rPr>
                <w:rFonts w:ascii="Arial" w:hAnsi="Arial"/>
                <w:sz w:val="20"/>
              </w:rPr>
              <w:t>No</w:t>
            </w:r>
          </w:p>
        </w:tc>
        <w:tc>
          <w:tcPr>
            <w:tcW w:w="2394" w:type="dxa"/>
          </w:tcPr>
          <w:p w:rsidR="009754C5" w:rsidRPr="00354571" w:rsidRDefault="009754C5" w:rsidP="009754C5">
            <w:pPr>
              <w:jc w:val="center"/>
              <w:rPr>
                <w:rFonts w:ascii="Arial" w:hAnsi="Arial"/>
                <w:sz w:val="20"/>
              </w:rPr>
            </w:pPr>
            <w:r w:rsidRPr="00354571">
              <w:rPr>
                <w:rFonts w:ascii="Arial" w:hAnsi="Arial"/>
                <w:sz w:val="20"/>
              </w:rPr>
              <w:t>No</w:t>
            </w:r>
          </w:p>
        </w:tc>
        <w:tc>
          <w:tcPr>
            <w:tcW w:w="2394" w:type="dxa"/>
          </w:tcPr>
          <w:p w:rsidR="009754C5" w:rsidRPr="00354571" w:rsidRDefault="009754C5" w:rsidP="009754C5">
            <w:pPr>
              <w:jc w:val="center"/>
              <w:rPr>
                <w:rFonts w:ascii="Arial" w:hAnsi="Arial"/>
                <w:sz w:val="20"/>
              </w:rPr>
            </w:pPr>
            <w:r w:rsidRPr="00354571">
              <w:rPr>
                <w:rFonts w:ascii="Arial" w:hAnsi="Arial"/>
                <w:sz w:val="20"/>
              </w:rPr>
              <w:t>Yes</w:t>
            </w:r>
          </w:p>
        </w:tc>
      </w:tr>
      <w:tr w:rsidR="003E5056" w:rsidRPr="009754C5">
        <w:tc>
          <w:tcPr>
            <w:tcW w:w="2394" w:type="dxa"/>
          </w:tcPr>
          <w:p w:rsidR="003E5056" w:rsidRPr="00354571" w:rsidRDefault="003E5056" w:rsidP="005167A8">
            <w:pPr>
              <w:rPr>
                <w:rFonts w:ascii="Arial" w:hAnsi="Arial"/>
                <w:sz w:val="20"/>
              </w:rPr>
            </w:pPr>
            <w:r>
              <w:rPr>
                <w:rFonts w:ascii="Arial" w:hAnsi="Arial"/>
                <w:sz w:val="20"/>
              </w:rPr>
              <w:t xml:space="preserve">Stabilization of </w:t>
            </w:r>
            <w:proofErr w:type="spellStart"/>
            <w:r>
              <w:rPr>
                <w:rFonts w:ascii="Arial" w:hAnsi="Arial"/>
                <w:sz w:val="20"/>
              </w:rPr>
              <w:t>unculturable</w:t>
            </w:r>
            <w:proofErr w:type="spellEnd"/>
            <w:r>
              <w:rPr>
                <w:rFonts w:ascii="Arial" w:hAnsi="Arial"/>
                <w:sz w:val="20"/>
              </w:rPr>
              <w:t xml:space="preserve"> bacteria</w:t>
            </w:r>
          </w:p>
        </w:tc>
        <w:tc>
          <w:tcPr>
            <w:tcW w:w="2394" w:type="dxa"/>
          </w:tcPr>
          <w:p w:rsidR="003E5056" w:rsidRPr="00354571" w:rsidRDefault="003E5056" w:rsidP="009754C5">
            <w:pPr>
              <w:jc w:val="center"/>
              <w:rPr>
                <w:rFonts w:ascii="Arial" w:hAnsi="Arial"/>
                <w:sz w:val="20"/>
              </w:rPr>
            </w:pPr>
            <w:r>
              <w:rPr>
                <w:rFonts w:ascii="Arial" w:hAnsi="Arial"/>
                <w:sz w:val="20"/>
              </w:rPr>
              <w:t>No</w:t>
            </w:r>
          </w:p>
        </w:tc>
        <w:tc>
          <w:tcPr>
            <w:tcW w:w="2394" w:type="dxa"/>
          </w:tcPr>
          <w:p w:rsidR="003E5056" w:rsidRPr="00354571" w:rsidRDefault="003E5056" w:rsidP="009754C5">
            <w:pPr>
              <w:jc w:val="center"/>
              <w:rPr>
                <w:rFonts w:ascii="Arial" w:hAnsi="Arial"/>
                <w:sz w:val="20"/>
              </w:rPr>
            </w:pPr>
            <w:r>
              <w:rPr>
                <w:rFonts w:ascii="Arial" w:hAnsi="Arial"/>
                <w:sz w:val="20"/>
              </w:rPr>
              <w:t>No</w:t>
            </w:r>
          </w:p>
        </w:tc>
        <w:tc>
          <w:tcPr>
            <w:tcW w:w="2394" w:type="dxa"/>
          </w:tcPr>
          <w:p w:rsidR="003E5056" w:rsidRPr="00354571" w:rsidRDefault="003E5056" w:rsidP="009754C5">
            <w:pPr>
              <w:jc w:val="center"/>
              <w:rPr>
                <w:rFonts w:ascii="Arial" w:hAnsi="Arial"/>
                <w:sz w:val="20"/>
              </w:rPr>
            </w:pPr>
            <w:r>
              <w:rPr>
                <w:rFonts w:ascii="Arial" w:hAnsi="Arial"/>
                <w:sz w:val="20"/>
              </w:rPr>
              <w:t>Yes</w:t>
            </w:r>
          </w:p>
        </w:tc>
      </w:tr>
      <w:tr w:rsidR="009754C5" w:rsidRPr="009754C5">
        <w:tc>
          <w:tcPr>
            <w:tcW w:w="2394" w:type="dxa"/>
          </w:tcPr>
          <w:p w:rsidR="009754C5" w:rsidRPr="00354571" w:rsidRDefault="009754C5" w:rsidP="005167A8">
            <w:pPr>
              <w:rPr>
                <w:rFonts w:ascii="Arial" w:hAnsi="Arial"/>
                <w:sz w:val="20"/>
              </w:rPr>
            </w:pPr>
            <w:r w:rsidRPr="00354571">
              <w:rPr>
                <w:rFonts w:ascii="Arial" w:hAnsi="Arial"/>
                <w:sz w:val="20"/>
              </w:rPr>
              <w:t>PCR/</w:t>
            </w:r>
            <w:proofErr w:type="spellStart"/>
            <w:r w:rsidRPr="00354571">
              <w:rPr>
                <w:rFonts w:ascii="Arial" w:hAnsi="Arial"/>
                <w:sz w:val="20"/>
              </w:rPr>
              <w:t>qPCR</w:t>
            </w:r>
            <w:proofErr w:type="spellEnd"/>
            <w:r w:rsidRPr="00354571">
              <w:rPr>
                <w:rFonts w:ascii="Arial" w:hAnsi="Arial"/>
                <w:sz w:val="20"/>
              </w:rPr>
              <w:t>-ready samples – compatible with all molecular platforms</w:t>
            </w:r>
          </w:p>
        </w:tc>
        <w:tc>
          <w:tcPr>
            <w:tcW w:w="2394" w:type="dxa"/>
          </w:tcPr>
          <w:p w:rsidR="009754C5" w:rsidRPr="00354571" w:rsidRDefault="009754C5" w:rsidP="009754C5">
            <w:pPr>
              <w:jc w:val="center"/>
              <w:rPr>
                <w:rFonts w:ascii="Arial" w:hAnsi="Arial"/>
                <w:sz w:val="20"/>
              </w:rPr>
            </w:pPr>
            <w:r w:rsidRPr="00354571">
              <w:rPr>
                <w:rFonts w:ascii="Arial" w:hAnsi="Arial"/>
                <w:sz w:val="20"/>
              </w:rPr>
              <w:t>No</w:t>
            </w:r>
          </w:p>
        </w:tc>
        <w:tc>
          <w:tcPr>
            <w:tcW w:w="2394" w:type="dxa"/>
          </w:tcPr>
          <w:p w:rsidR="009754C5" w:rsidRPr="00354571" w:rsidRDefault="009754C5" w:rsidP="009754C5">
            <w:pPr>
              <w:jc w:val="center"/>
              <w:rPr>
                <w:rFonts w:ascii="Arial" w:hAnsi="Arial"/>
                <w:sz w:val="20"/>
              </w:rPr>
            </w:pPr>
            <w:r w:rsidRPr="00354571">
              <w:rPr>
                <w:rFonts w:ascii="Arial" w:hAnsi="Arial"/>
                <w:sz w:val="20"/>
              </w:rPr>
              <w:t>No</w:t>
            </w:r>
          </w:p>
        </w:tc>
        <w:tc>
          <w:tcPr>
            <w:tcW w:w="2394" w:type="dxa"/>
          </w:tcPr>
          <w:p w:rsidR="009754C5" w:rsidRPr="00354571" w:rsidRDefault="009754C5" w:rsidP="009754C5">
            <w:pPr>
              <w:jc w:val="center"/>
              <w:rPr>
                <w:rFonts w:ascii="Arial" w:hAnsi="Arial"/>
                <w:sz w:val="20"/>
              </w:rPr>
            </w:pPr>
            <w:r w:rsidRPr="00354571">
              <w:rPr>
                <w:rFonts w:ascii="Arial" w:hAnsi="Arial"/>
                <w:sz w:val="20"/>
              </w:rPr>
              <w:t>Yes</w:t>
            </w:r>
          </w:p>
        </w:tc>
      </w:tr>
      <w:tr w:rsidR="009754C5" w:rsidRPr="009754C5">
        <w:tc>
          <w:tcPr>
            <w:tcW w:w="2394" w:type="dxa"/>
          </w:tcPr>
          <w:p w:rsidR="009754C5" w:rsidRPr="00354571" w:rsidRDefault="009754C5" w:rsidP="005167A8">
            <w:pPr>
              <w:rPr>
                <w:rFonts w:ascii="Arial" w:hAnsi="Arial"/>
                <w:sz w:val="20"/>
              </w:rPr>
            </w:pPr>
            <w:r w:rsidRPr="00354571">
              <w:rPr>
                <w:rFonts w:ascii="Arial" w:hAnsi="Arial"/>
                <w:sz w:val="20"/>
              </w:rPr>
              <w:t>Validated for multiplex assays</w:t>
            </w:r>
          </w:p>
        </w:tc>
        <w:tc>
          <w:tcPr>
            <w:tcW w:w="2394" w:type="dxa"/>
          </w:tcPr>
          <w:p w:rsidR="009754C5" w:rsidRPr="00354571" w:rsidRDefault="009754C5" w:rsidP="009754C5">
            <w:pPr>
              <w:jc w:val="center"/>
              <w:rPr>
                <w:rFonts w:ascii="Arial" w:hAnsi="Arial"/>
                <w:sz w:val="20"/>
              </w:rPr>
            </w:pPr>
            <w:r w:rsidRPr="00354571">
              <w:rPr>
                <w:rFonts w:ascii="Arial" w:hAnsi="Arial"/>
                <w:sz w:val="20"/>
              </w:rPr>
              <w:t>No</w:t>
            </w:r>
          </w:p>
        </w:tc>
        <w:tc>
          <w:tcPr>
            <w:tcW w:w="2394" w:type="dxa"/>
          </w:tcPr>
          <w:p w:rsidR="009754C5" w:rsidRPr="00354571" w:rsidRDefault="009754C5" w:rsidP="009754C5">
            <w:pPr>
              <w:jc w:val="center"/>
              <w:rPr>
                <w:rFonts w:ascii="Arial" w:hAnsi="Arial"/>
                <w:sz w:val="20"/>
              </w:rPr>
            </w:pPr>
            <w:r w:rsidRPr="00354571">
              <w:rPr>
                <w:rFonts w:ascii="Arial" w:hAnsi="Arial"/>
                <w:sz w:val="20"/>
              </w:rPr>
              <w:t>No</w:t>
            </w:r>
          </w:p>
        </w:tc>
        <w:tc>
          <w:tcPr>
            <w:tcW w:w="2394" w:type="dxa"/>
          </w:tcPr>
          <w:p w:rsidR="009754C5" w:rsidRPr="00354571" w:rsidRDefault="009754C5" w:rsidP="009754C5">
            <w:pPr>
              <w:jc w:val="center"/>
              <w:rPr>
                <w:rFonts w:ascii="Arial" w:hAnsi="Arial"/>
                <w:sz w:val="20"/>
              </w:rPr>
            </w:pPr>
            <w:r w:rsidRPr="00354571">
              <w:rPr>
                <w:rFonts w:ascii="Arial" w:hAnsi="Arial"/>
                <w:sz w:val="20"/>
              </w:rPr>
              <w:t>Yes</w:t>
            </w:r>
          </w:p>
        </w:tc>
      </w:tr>
      <w:tr w:rsidR="009754C5" w:rsidRPr="009754C5">
        <w:tc>
          <w:tcPr>
            <w:tcW w:w="2394" w:type="dxa"/>
          </w:tcPr>
          <w:p w:rsidR="009754C5" w:rsidRPr="00354571" w:rsidRDefault="009754C5" w:rsidP="008F656F">
            <w:pPr>
              <w:rPr>
                <w:rFonts w:ascii="Arial" w:hAnsi="Arial"/>
                <w:sz w:val="20"/>
              </w:rPr>
            </w:pPr>
            <w:r w:rsidRPr="00354571">
              <w:rPr>
                <w:rFonts w:ascii="Arial" w:hAnsi="Arial"/>
                <w:sz w:val="20"/>
              </w:rPr>
              <w:t>Environmental storage constraints</w:t>
            </w:r>
          </w:p>
        </w:tc>
        <w:tc>
          <w:tcPr>
            <w:tcW w:w="2394" w:type="dxa"/>
          </w:tcPr>
          <w:p w:rsidR="00AC39CD" w:rsidRPr="00354571" w:rsidRDefault="00396C02" w:rsidP="008F656F">
            <w:pPr>
              <w:jc w:val="center"/>
              <w:rPr>
                <w:rFonts w:ascii="Arial" w:hAnsi="Arial"/>
                <w:sz w:val="20"/>
              </w:rPr>
            </w:pPr>
            <w:r w:rsidRPr="00354571">
              <w:rPr>
                <w:rFonts w:ascii="Arial" w:hAnsi="Arial"/>
                <w:sz w:val="20"/>
              </w:rPr>
              <w:t>Store at 5º-</w:t>
            </w:r>
            <w:r w:rsidR="008F656F" w:rsidRPr="00354571">
              <w:rPr>
                <w:rFonts w:ascii="Arial" w:hAnsi="Arial"/>
                <w:sz w:val="20"/>
              </w:rPr>
              <w:t>25</w:t>
            </w:r>
            <w:r w:rsidRPr="00354571">
              <w:rPr>
                <w:rFonts w:ascii="Arial" w:hAnsi="Arial"/>
                <w:sz w:val="20"/>
              </w:rPr>
              <w:t>º C</w:t>
            </w:r>
            <w:r w:rsidR="00AC39CD" w:rsidRPr="00354571">
              <w:rPr>
                <w:rFonts w:ascii="Arial" w:hAnsi="Arial"/>
                <w:sz w:val="20"/>
              </w:rPr>
              <w:t>.</w:t>
            </w:r>
          </w:p>
          <w:p w:rsidR="009754C5" w:rsidRPr="00354571" w:rsidRDefault="00AC39CD" w:rsidP="008F656F">
            <w:pPr>
              <w:jc w:val="center"/>
              <w:rPr>
                <w:rFonts w:ascii="Arial" w:hAnsi="Arial"/>
                <w:sz w:val="20"/>
              </w:rPr>
            </w:pPr>
            <w:r w:rsidRPr="00354571">
              <w:rPr>
                <w:rFonts w:ascii="Arial" w:hAnsi="Arial"/>
                <w:sz w:val="20"/>
              </w:rPr>
              <w:t>Do not freeze or overheat.</w:t>
            </w:r>
          </w:p>
        </w:tc>
        <w:tc>
          <w:tcPr>
            <w:tcW w:w="2394" w:type="dxa"/>
          </w:tcPr>
          <w:p w:rsidR="00AC39CD" w:rsidRPr="00354571" w:rsidRDefault="008F656F" w:rsidP="00AC39CD">
            <w:pPr>
              <w:jc w:val="center"/>
              <w:rPr>
                <w:rFonts w:ascii="Arial" w:hAnsi="Arial"/>
                <w:sz w:val="20"/>
              </w:rPr>
            </w:pPr>
            <w:r w:rsidRPr="00354571">
              <w:rPr>
                <w:rFonts w:ascii="Arial" w:hAnsi="Arial"/>
                <w:sz w:val="20"/>
              </w:rPr>
              <w:t>Store at 5º-25º C</w:t>
            </w:r>
            <w:r w:rsidR="00AC39CD" w:rsidRPr="00354571">
              <w:rPr>
                <w:rFonts w:ascii="Arial" w:hAnsi="Arial"/>
                <w:sz w:val="20"/>
              </w:rPr>
              <w:t>.</w:t>
            </w:r>
          </w:p>
          <w:p w:rsidR="009754C5" w:rsidRPr="00354571" w:rsidRDefault="00AC39CD" w:rsidP="00AC39CD">
            <w:pPr>
              <w:jc w:val="center"/>
              <w:rPr>
                <w:rFonts w:ascii="Arial" w:hAnsi="Arial"/>
                <w:sz w:val="20"/>
              </w:rPr>
            </w:pPr>
            <w:r w:rsidRPr="00354571">
              <w:rPr>
                <w:rFonts w:ascii="Arial" w:hAnsi="Arial"/>
                <w:sz w:val="20"/>
              </w:rPr>
              <w:t>Do not freeze or overheat.</w:t>
            </w:r>
          </w:p>
        </w:tc>
        <w:tc>
          <w:tcPr>
            <w:tcW w:w="2394" w:type="dxa"/>
          </w:tcPr>
          <w:p w:rsidR="009754C5" w:rsidRPr="00354571" w:rsidRDefault="009754C5" w:rsidP="009754C5">
            <w:pPr>
              <w:jc w:val="center"/>
              <w:rPr>
                <w:rFonts w:ascii="Arial" w:hAnsi="Arial"/>
                <w:sz w:val="20"/>
              </w:rPr>
            </w:pPr>
            <w:r w:rsidRPr="00354571">
              <w:rPr>
                <w:rFonts w:ascii="Arial" w:hAnsi="Arial"/>
                <w:sz w:val="20"/>
              </w:rPr>
              <w:t>None</w:t>
            </w:r>
          </w:p>
        </w:tc>
      </w:tr>
    </w:tbl>
    <w:p w:rsidR="00396C02" w:rsidRDefault="00396C02">
      <w:pPr>
        <w:rPr>
          <w:rFonts w:ascii="Arial" w:hAnsi="Arial"/>
        </w:rPr>
      </w:pPr>
    </w:p>
    <w:p w:rsidR="00396C02" w:rsidRDefault="00047359">
      <w:pPr>
        <w:rPr>
          <w:rFonts w:ascii="Arial" w:hAnsi="Arial"/>
        </w:rPr>
      </w:pPr>
      <w:r>
        <w:rPr>
          <w:rFonts w:ascii="Arial" w:hAnsi="Arial"/>
          <w:sz w:val="18"/>
        </w:rPr>
        <w:t>* Groups of Gram-negative and Gram-</w:t>
      </w:r>
      <w:r w:rsidRPr="00047359">
        <w:rPr>
          <w:rFonts w:ascii="Arial" w:hAnsi="Arial"/>
          <w:sz w:val="18"/>
        </w:rPr>
        <w:t xml:space="preserve">positive bacteria were tested for viability at </w:t>
      </w:r>
      <w:proofErr w:type="spellStart"/>
      <w:r w:rsidRPr="00047359">
        <w:rPr>
          <w:rFonts w:ascii="Arial" w:hAnsi="Arial"/>
          <w:sz w:val="18"/>
        </w:rPr>
        <w:t>innocula</w:t>
      </w:r>
      <w:proofErr w:type="spellEnd"/>
      <w:r w:rsidRPr="00047359">
        <w:rPr>
          <w:rFonts w:ascii="Arial" w:hAnsi="Arial"/>
          <w:sz w:val="18"/>
        </w:rPr>
        <w:t xml:space="preserve"> of 10² and 10³ CFU/ml every 24 hours through 144 hours. No difference in viability</w:t>
      </w:r>
      <w:r>
        <w:rPr>
          <w:rFonts w:ascii="Arial" w:hAnsi="Arial"/>
          <w:sz w:val="18"/>
        </w:rPr>
        <w:t xml:space="preserve"> </w:t>
      </w:r>
      <w:r w:rsidRPr="00047359">
        <w:rPr>
          <w:rFonts w:ascii="Arial" w:hAnsi="Arial"/>
          <w:sz w:val="18"/>
        </w:rPr>
        <w:t xml:space="preserve">(colony counts) or biochemical expression was </w:t>
      </w:r>
      <w:r>
        <w:rPr>
          <w:rFonts w:ascii="Arial" w:hAnsi="Arial"/>
          <w:sz w:val="18"/>
        </w:rPr>
        <w:t>observed</w:t>
      </w:r>
      <w:r w:rsidRPr="00047359">
        <w:rPr>
          <w:rFonts w:ascii="Arial" w:hAnsi="Arial"/>
          <w:sz w:val="18"/>
        </w:rPr>
        <w:t>.</w:t>
      </w:r>
    </w:p>
    <w:p w:rsidR="00047359" w:rsidRDefault="00047359">
      <w:pPr>
        <w:rPr>
          <w:rFonts w:ascii="Arial" w:hAnsi="Arial"/>
          <w:sz w:val="18"/>
        </w:rPr>
      </w:pPr>
    </w:p>
    <w:p w:rsidR="00396C02" w:rsidRPr="00896CFF" w:rsidRDefault="00396C02">
      <w:pPr>
        <w:rPr>
          <w:rFonts w:ascii="Arial" w:hAnsi="Arial"/>
          <w:sz w:val="18"/>
        </w:rPr>
      </w:pPr>
      <w:r w:rsidRPr="00896CFF">
        <w:rPr>
          <w:rFonts w:ascii="Arial" w:hAnsi="Arial"/>
          <w:sz w:val="18"/>
        </w:rPr>
        <w:t>Notes:</w:t>
      </w:r>
    </w:p>
    <w:p w:rsidR="00396C02" w:rsidRPr="00896CFF" w:rsidRDefault="00396C02">
      <w:pPr>
        <w:rPr>
          <w:rFonts w:ascii="Arial" w:hAnsi="Arial"/>
          <w:sz w:val="18"/>
        </w:rPr>
      </w:pPr>
    </w:p>
    <w:p w:rsidR="00396C02" w:rsidRPr="00354571" w:rsidRDefault="00396C02" w:rsidP="00396C02">
      <w:pPr>
        <w:rPr>
          <w:rFonts w:ascii="Arial" w:hAnsi="Arial"/>
          <w:b/>
          <w:sz w:val="18"/>
        </w:rPr>
      </w:pPr>
      <w:r w:rsidRPr="00354571">
        <w:rPr>
          <w:rFonts w:ascii="Arial" w:hAnsi="Arial"/>
          <w:b/>
          <w:sz w:val="18"/>
        </w:rPr>
        <w:t xml:space="preserve">Limitations of </w:t>
      </w:r>
      <w:proofErr w:type="spellStart"/>
      <w:r w:rsidR="008F656F" w:rsidRPr="00354571">
        <w:rPr>
          <w:rFonts w:ascii="Arial" w:hAnsi="Arial"/>
          <w:b/>
          <w:sz w:val="18"/>
        </w:rPr>
        <w:t>Amies</w:t>
      </w:r>
      <w:proofErr w:type="spellEnd"/>
      <w:r w:rsidR="008F656F" w:rsidRPr="00354571">
        <w:rPr>
          <w:rFonts w:ascii="Arial" w:hAnsi="Arial"/>
          <w:b/>
          <w:sz w:val="18"/>
        </w:rPr>
        <w:t xml:space="preserve"> and Stuarts Transport Media</w:t>
      </w:r>
    </w:p>
    <w:p w:rsidR="00396C02" w:rsidRPr="00896CFF" w:rsidRDefault="00396C02" w:rsidP="00396C02">
      <w:pPr>
        <w:rPr>
          <w:rFonts w:ascii="Arial" w:hAnsi="Arial"/>
          <w:sz w:val="18"/>
        </w:rPr>
      </w:pPr>
      <w:r w:rsidRPr="00896CFF">
        <w:rPr>
          <w:rFonts w:ascii="Arial" w:hAnsi="Arial"/>
          <w:sz w:val="18"/>
        </w:rPr>
        <w:t>1.</w:t>
      </w:r>
      <w:r w:rsidRPr="00896CFF">
        <w:rPr>
          <w:rFonts w:ascii="Arial" w:hAnsi="Arial"/>
          <w:sz w:val="18"/>
        </w:rPr>
        <w:tab/>
        <w:t>Specimens taken from transport media will not exhibit the optimal or comparative growth as expected from direct inoculation and cultivation. These media do, however, provide an adequate degree of preservation for those specimens which cannot be forwarded immediately to the laboratory for prompt evaluation.</w:t>
      </w:r>
    </w:p>
    <w:p w:rsidR="00396C02" w:rsidRPr="00896CFF" w:rsidRDefault="00396C02" w:rsidP="00396C02">
      <w:pPr>
        <w:rPr>
          <w:rFonts w:ascii="Arial" w:hAnsi="Arial"/>
          <w:sz w:val="18"/>
        </w:rPr>
      </w:pPr>
      <w:r w:rsidRPr="00896CFF">
        <w:rPr>
          <w:rFonts w:ascii="Arial" w:hAnsi="Arial"/>
          <w:sz w:val="18"/>
        </w:rPr>
        <w:t xml:space="preserve">2. </w:t>
      </w:r>
      <w:r w:rsidR="001839E1" w:rsidRPr="00896CFF">
        <w:rPr>
          <w:rFonts w:ascii="Arial" w:hAnsi="Arial"/>
          <w:sz w:val="18"/>
        </w:rPr>
        <w:tab/>
      </w:r>
      <w:r w:rsidRPr="00896CFF">
        <w:rPr>
          <w:rFonts w:ascii="Arial" w:hAnsi="Arial"/>
          <w:sz w:val="18"/>
        </w:rPr>
        <w:t xml:space="preserve">Viability of cells will diminish over time and some degree of multiplication or growth of contaminants can occur during prolonged periods of transit. This is particularly true of fecal specimens that contain substantial numbers of </w:t>
      </w:r>
      <w:proofErr w:type="spellStart"/>
      <w:r w:rsidRPr="00896CFF">
        <w:rPr>
          <w:rFonts w:ascii="Arial" w:hAnsi="Arial"/>
          <w:sz w:val="18"/>
        </w:rPr>
        <w:t>coliform</w:t>
      </w:r>
      <w:proofErr w:type="spellEnd"/>
      <w:r w:rsidRPr="00896CFF">
        <w:rPr>
          <w:rFonts w:ascii="Arial" w:hAnsi="Arial"/>
          <w:sz w:val="18"/>
        </w:rPr>
        <w:t xml:space="preserve"> organisms.</w:t>
      </w:r>
    </w:p>
    <w:p w:rsidR="00396C02" w:rsidRPr="00896CFF" w:rsidRDefault="00396C02" w:rsidP="00396C02">
      <w:pPr>
        <w:rPr>
          <w:rFonts w:ascii="Arial" w:hAnsi="Arial"/>
          <w:sz w:val="18"/>
        </w:rPr>
      </w:pPr>
      <w:r w:rsidRPr="00896CFF">
        <w:rPr>
          <w:rFonts w:ascii="Arial" w:hAnsi="Arial"/>
          <w:sz w:val="18"/>
        </w:rPr>
        <w:t xml:space="preserve">3. </w:t>
      </w:r>
      <w:r w:rsidR="001839E1" w:rsidRPr="00896CFF">
        <w:rPr>
          <w:rFonts w:ascii="Arial" w:hAnsi="Arial"/>
          <w:sz w:val="18"/>
        </w:rPr>
        <w:tab/>
      </w:r>
      <w:r w:rsidRPr="00896CFF">
        <w:rPr>
          <w:rFonts w:ascii="Arial" w:hAnsi="Arial"/>
          <w:sz w:val="18"/>
        </w:rPr>
        <w:t xml:space="preserve">The condition of the specimen received by the laboratory for culture is a significant variable in recovery and final identification of the suspect pathogen. An unsatisfactory specimen (overgrown by contaminants, containing </w:t>
      </w:r>
      <w:proofErr w:type="spellStart"/>
      <w:r w:rsidRPr="00896CFF">
        <w:rPr>
          <w:rFonts w:ascii="Arial" w:hAnsi="Arial"/>
          <w:sz w:val="18"/>
        </w:rPr>
        <w:t>nonvi</w:t>
      </w:r>
      <w:proofErr w:type="spellEnd"/>
      <w:r w:rsidRPr="00896CFF">
        <w:rPr>
          <w:rFonts w:ascii="Arial" w:hAnsi="Arial"/>
          <w:sz w:val="18"/>
        </w:rPr>
        <w:t>- able organisms, or having the number of pathogens greatly diminished) can lead to erroneous or inconclusive results.</w:t>
      </w:r>
    </w:p>
    <w:p w:rsidR="00396C02" w:rsidRPr="00896CFF" w:rsidRDefault="00396C02" w:rsidP="00396C02">
      <w:pPr>
        <w:rPr>
          <w:rFonts w:ascii="Arial" w:hAnsi="Arial"/>
          <w:sz w:val="18"/>
        </w:rPr>
      </w:pPr>
      <w:r w:rsidRPr="00896CFF">
        <w:rPr>
          <w:rFonts w:ascii="Arial" w:hAnsi="Arial"/>
          <w:sz w:val="18"/>
        </w:rPr>
        <w:t>4.</w:t>
      </w:r>
      <w:r w:rsidRPr="00896CFF">
        <w:rPr>
          <w:rFonts w:ascii="Arial" w:hAnsi="Arial"/>
          <w:sz w:val="18"/>
        </w:rPr>
        <w:tab/>
        <w:t xml:space="preserve">For transport of specimens that may contain N. </w:t>
      </w:r>
      <w:proofErr w:type="spellStart"/>
      <w:r w:rsidRPr="00896CFF">
        <w:rPr>
          <w:rFonts w:ascii="Arial" w:hAnsi="Arial"/>
          <w:sz w:val="18"/>
        </w:rPr>
        <w:t>gonorrhoeae</w:t>
      </w:r>
      <w:proofErr w:type="spellEnd"/>
      <w:r w:rsidRPr="00896CFF">
        <w:rPr>
          <w:rFonts w:ascii="Arial" w:hAnsi="Arial"/>
          <w:sz w:val="18"/>
        </w:rPr>
        <w:t xml:space="preserve">, the use of a selective medium, such as JEMBECTM or </w:t>
      </w:r>
      <w:proofErr w:type="spellStart"/>
      <w:r w:rsidRPr="00896CFF">
        <w:rPr>
          <w:rFonts w:ascii="Arial" w:hAnsi="Arial"/>
          <w:sz w:val="18"/>
        </w:rPr>
        <w:t>Gono</w:t>
      </w:r>
      <w:proofErr w:type="spellEnd"/>
      <w:r w:rsidRPr="00896CFF">
        <w:rPr>
          <w:rFonts w:ascii="Arial" w:hAnsi="Arial"/>
          <w:sz w:val="18"/>
        </w:rPr>
        <w:t>- Pak systems, should also be considered.</w:t>
      </w:r>
    </w:p>
    <w:p w:rsidR="00354571" w:rsidRDefault="00D55071">
      <w:hyperlink r:id="rId4" w:history="1">
        <w:r w:rsidR="00396C02" w:rsidRPr="00896CFF">
          <w:rPr>
            <w:rStyle w:val="Hyperlink"/>
            <w:rFonts w:ascii="Arial" w:hAnsi="Arial"/>
            <w:sz w:val="18"/>
          </w:rPr>
          <w:t>http://www.bd.com/ds/technicalCenter/inserts/Transport_Media.pdf</w:t>
        </w:r>
      </w:hyperlink>
    </w:p>
    <w:p w:rsidR="00016487" w:rsidRDefault="00016487">
      <w:pPr>
        <w:rPr>
          <w:rFonts w:ascii="Arial" w:hAnsi="Arial"/>
          <w:sz w:val="18"/>
        </w:rPr>
      </w:pPr>
    </w:p>
    <w:p w:rsidR="00AC39CD" w:rsidRPr="00896CFF" w:rsidRDefault="00AC39CD">
      <w:pPr>
        <w:rPr>
          <w:rFonts w:ascii="Arial" w:hAnsi="Arial"/>
          <w:sz w:val="18"/>
        </w:rPr>
      </w:pPr>
    </w:p>
    <w:p w:rsidR="00354571" w:rsidRDefault="00354571">
      <w:pPr>
        <w:rPr>
          <w:rFonts w:ascii="Arial" w:hAnsi="Arial"/>
          <w:b/>
          <w:sz w:val="18"/>
        </w:rPr>
      </w:pPr>
      <w:r>
        <w:rPr>
          <w:rFonts w:ascii="Arial" w:hAnsi="Arial"/>
          <w:b/>
          <w:sz w:val="18"/>
        </w:rPr>
        <w:t>Regulatory Approval</w:t>
      </w:r>
    </w:p>
    <w:p w:rsidR="00AC39CD" w:rsidRPr="00896CFF" w:rsidRDefault="00AC39CD">
      <w:pPr>
        <w:rPr>
          <w:rFonts w:ascii="Arial" w:hAnsi="Arial"/>
          <w:sz w:val="18"/>
        </w:rPr>
      </w:pPr>
      <w:r w:rsidRPr="00896CFF">
        <w:rPr>
          <w:rFonts w:ascii="Arial" w:hAnsi="Arial"/>
          <w:sz w:val="18"/>
        </w:rPr>
        <w:t xml:space="preserve">Devices intended </w:t>
      </w:r>
      <w:r w:rsidR="001839E1" w:rsidRPr="00896CFF">
        <w:rPr>
          <w:rFonts w:ascii="Arial" w:hAnsi="Arial"/>
          <w:sz w:val="18"/>
        </w:rPr>
        <w:t>as</w:t>
      </w:r>
      <w:r w:rsidRPr="00896CFF">
        <w:rPr>
          <w:rFonts w:ascii="Arial" w:hAnsi="Arial"/>
          <w:sz w:val="18"/>
        </w:rPr>
        <w:t xml:space="preserve"> </w:t>
      </w:r>
      <w:r w:rsidR="001839E1" w:rsidRPr="00896CFF">
        <w:rPr>
          <w:rFonts w:ascii="Arial" w:hAnsi="Arial"/>
          <w:sz w:val="18"/>
        </w:rPr>
        <w:t xml:space="preserve">microbiological specimen collection and transport </w:t>
      </w:r>
      <w:r w:rsidR="00220850" w:rsidRPr="00896CFF">
        <w:rPr>
          <w:rFonts w:ascii="Arial" w:hAnsi="Arial"/>
          <w:sz w:val="18"/>
        </w:rPr>
        <w:t>systems for</w:t>
      </w:r>
      <w:r w:rsidRPr="00896CFF">
        <w:rPr>
          <w:rFonts w:ascii="Arial" w:hAnsi="Arial"/>
          <w:sz w:val="18"/>
        </w:rPr>
        <w:t xml:space="preserve"> clinical diagnostics are FDA Class I Medical Devices </w:t>
      </w:r>
      <w:r w:rsidR="00220850" w:rsidRPr="00896CFF">
        <w:rPr>
          <w:rFonts w:ascii="Arial" w:hAnsi="Arial"/>
          <w:sz w:val="18"/>
        </w:rPr>
        <w:t xml:space="preserve">under </w:t>
      </w:r>
      <w:hyperlink r:id="rId5" w:history="1">
        <w:r w:rsidR="00220850" w:rsidRPr="00896CFF">
          <w:rPr>
            <w:rStyle w:val="Hyperlink"/>
            <w:sz w:val="18"/>
          </w:rPr>
          <w:t>21CFR866.2900</w:t>
        </w:r>
      </w:hyperlink>
      <w:r w:rsidR="00220850" w:rsidRPr="00896CFF">
        <w:rPr>
          <w:sz w:val="18"/>
        </w:rPr>
        <w:t xml:space="preserve"> (product classification code: </w:t>
      </w:r>
      <w:hyperlink r:id="rId6" w:history="1">
        <w:r w:rsidR="00220850" w:rsidRPr="00896CFF">
          <w:rPr>
            <w:rStyle w:val="Hyperlink"/>
            <w:sz w:val="18"/>
          </w:rPr>
          <w:t>LIO</w:t>
        </w:r>
      </w:hyperlink>
      <w:r w:rsidR="00220850" w:rsidRPr="00896CFF">
        <w:rPr>
          <w:sz w:val="18"/>
        </w:rPr>
        <w:t xml:space="preserve">) </w:t>
      </w:r>
      <w:r w:rsidR="00220850" w:rsidRPr="00896CFF">
        <w:rPr>
          <w:rFonts w:ascii="Arial" w:hAnsi="Arial"/>
          <w:sz w:val="18"/>
        </w:rPr>
        <w:t>and require 510(k) pre-market approval.</w:t>
      </w:r>
    </w:p>
    <w:p w:rsidR="00220850" w:rsidRDefault="00D55071">
      <w:pPr>
        <w:rPr>
          <w:rFonts w:ascii="Arial" w:hAnsi="Arial"/>
        </w:rPr>
      </w:pPr>
      <w:hyperlink r:id="rId7" w:history="1">
        <w:r w:rsidR="00220850" w:rsidRPr="00896CFF">
          <w:rPr>
            <w:rStyle w:val="Hyperlink"/>
            <w:rFonts w:ascii="Arial" w:hAnsi="Arial"/>
            <w:sz w:val="18"/>
          </w:rPr>
          <w:t>http://www.accessdata.fda.gov/scripts/cdrh/cfdocs/cfstandards/detail.cfm?standard__identification_no=25268</w:t>
        </w:r>
      </w:hyperlink>
    </w:p>
    <w:p w:rsidR="00396C02" w:rsidRDefault="00396C02">
      <w:pPr>
        <w:rPr>
          <w:rFonts w:ascii="Arial" w:hAnsi="Arial"/>
        </w:rPr>
      </w:pPr>
    </w:p>
    <w:p w:rsidR="00BE4160" w:rsidRPr="009754C5" w:rsidRDefault="00BE4160">
      <w:pPr>
        <w:rPr>
          <w:rFonts w:ascii="Arial" w:hAnsi="Arial"/>
        </w:rPr>
      </w:pPr>
    </w:p>
    <w:sectPr w:rsidR="00BE4160" w:rsidRPr="009754C5" w:rsidSect="00F559E3">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isplayBackgroundShape/>
  <w:proofState w:spelling="clean" w:grammar="clean"/>
  <w:doNotTrackMoves/>
  <w:defaultTabStop w:val="720"/>
  <w:characterSpacingControl w:val="doNotCompress"/>
  <w:compat/>
  <w:rsids>
    <w:rsidRoot w:val="00D61257"/>
    <w:rsid w:val="00016487"/>
    <w:rsid w:val="00030444"/>
    <w:rsid w:val="00047359"/>
    <w:rsid w:val="00053C9A"/>
    <w:rsid w:val="001839E1"/>
    <w:rsid w:val="00220850"/>
    <w:rsid w:val="002424B6"/>
    <w:rsid w:val="002950D3"/>
    <w:rsid w:val="00354571"/>
    <w:rsid w:val="00396C02"/>
    <w:rsid w:val="003E5056"/>
    <w:rsid w:val="004276CA"/>
    <w:rsid w:val="00512BF0"/>
    <w:rsid w:val="005167A8"/>
    <w:rsid w:val="00556425"/>
    <w:rsid w:val="00565E69"/>
    <w:rsid w:val="00694FC4"/>
    <w:rsid w:val="007F68C8"/>
    <w:rsid w:val="007F6F7A"/>
    <w:rsid w:val="00896CFF"/>
    <w:rsid w:val="008F656F"/>
    <w:rsid w:val="00916BA8"/>
    <w:rsid w:val="009754C5"/>
    <w:rsid w:val="00A44EEB"/>
    <w:rsid w:val="00AA2FCD"/>
    <w:rsid w:val="00AC39CD"/>
    <w:rsid w:val="00AD3062"/>
    <w:rsid w:val="00BE4160"/>
    <w:rsid w:val="00BF3755"/>
    <w:rsid w:val="00CE69B4"/>
    <w:rsid w:val="00D55071"/>
    <w:rsid w:val="00D61257"/>
    <w:rsid w:val="00F559E3"/>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9E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694FC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96C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bd.com/ds/technicalCenter/inserts/Transport_Media.pdf" TargetMode="External"/><Relationship Id="rId5" Type="http://schemas.openxmlformats.org/officeDocument/2006/relationships/hyperlink" Target="http://www.accessdata.fda.gov/scripts/cdrh/cfdocs/cfCFR/CFRSearch.cfm?fr=866.2900" TargetMode="External"/><Relationship Id="rId6" Type="http://schemas.openxmlformats.org/officeDocument/2006/relationships/hyperlink" Target="http://www.accessdata.fda.gov/scripts/cdrh/cfdocs/cfPCD/classification.cfm?ID=2998" TargetMode="External"/><Relationship Id="rId7" Type="http://schemas.openxmlformats.org/officeDocument/2006/relationships/hyperlink" Target="http://www.accessdata.fda.gov/scripts/cdrh/cfdocs/cfstandards/detail.cfm?standard__identification_no=25268"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2474</Characters>
  <Application>Microsoft Macintosh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Company>Sierra Molecular Inc</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Baker</dc:creator>
  <cp:keywords/>
  <dc:description/>
  <cp:lastModifiedBy>MBJ</cp:lastModifiedBy>
  <cp:revision>2</cp:revision>
  <cp:lastPrinted>2011-03-26T19:07:00Z</cp:lastPrinted>
  <dcterms:created xsi:type="dcterms:W3CDTF">2011-04-21T15:57:00Z</dcterms:created>
  <dcterms:modified xsi:type="dcterms:W3CDTF">2011-04-21T15:57:00Z</dcterms:modified>
</cp:coreProperties>
</file>